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12" w:rsidRDefault="00005E64" w:rsidP="00D81812">
      <w:pPr>
        <w:spacing w:after="0"/>
        <w:jc w:val="center"/>
        <w:rPr>
          <w:b/>
        </w:rPr>
      </w:pPr>
      <w:proofErr w:type="gramStart"/>
      <w:r>
        <w:rPr>
          <w:b/>
        </w:rPr>
        <w:t>Concept note on t</w:t>
      </w:r>
      <w:r w:rsidR="00F81714" w:rsidRPr="00F81714">
        <w:rPr>
          <w:b/>
        </w:rPr>
        <w:t>argeting and priority setting of rainwater management strategies in the Blue Nile basin</w:t>
      </w:r>
      <w:r w:rsidR="00FD2F87">
        <w:rPr>
          <w:b/>
        </w:rPr>
        <w:t>.</w:t>
      </w:r>
      <w:proofErr w:type="gramEnd"/>
    </w:p>
    <w:p w:rsidR="00005E64" w:rsidRDefault="00005E64" w:rsidP="00D81812">
      <w:pPr>
        <w:spacing w:after="0"/>
        <w:jc w:val="center"/>
        <w:rPr>
          <w:b/>
        </w:rPr>
      </w:pPr>
    </w:p>
    <w:p w:rsidR="008D512F" w:rsidRDefault="008D512F" w:rsidP="00D81812">
      <w:pPr>
        <w:spacing w:after="0"/>
        <w:jc w:val="center"/>
        <w:rPr>
          <w:b/>
        </w:rPr>
      </w:pPr>
      <w:proofErr w:type="gramStart"/>
      <w:r>
        <w:rPr>
          <w:b/>
        </w:rPr>
        <w:t>Building on the current CPWF Nile Basin Development Challenge programme.</w:t>
      </w:r>
      <w:proofErr w:type="gramEnd"/>
    </w:p>
    <w:p w:rsidR="00F81714" w:rsidRDefault="00FD2F87" w:rsidP="00D81812">
      <w:pPr>
        <w:spacing w:after="0"/>
        <w:jc w:val="center"/>
        <w:rPr>
          <w:b/>
        </w:rPr>
      </w:pPr>
      <w:proofErr w:type="gramStart"/>
      <w:r>
        <w:rPr>
          <w:b/>
        </w:rPr>
        <w:t>A joint IWMI-ILRI proposal.</w:t>
      </w:r>
      <w:proofErr w:type="gramEnd"/>
    </w:p>
    <w:p w:rsidR="00D81812" w:rsidRPr="00F81714" w:rsidRDefault="00D81812" w:rsidP="00D81812">
      <w:pPr>
        <w:spacing w:after="0"/>
        <w:jc w:val="center"/>
        <w:rPr>
          <w:b/>
        </w:rPr>
      </w:pPr>
    </w:p>
    <w:p w:rsidR="00444145" w:rsidRPr="00444145" w:rsidRDefault="00444145" w:rsidP="00D81812">
      <w:pPr>
        <w:jc w:val="center"/>
      </w:pPr>
      <w:proofErr w:type="gramStart"/>
      <w:r w:rsidRPr="00444145">
        <w:t>An</w:t>
      </w:r>
      <w:proofErr w:type="gramEnd"/>
      <w:r w:rsidRPr="00444145">
        <w:t xml:space="preserve"> Notenbaert, ILRI NBDC project leader; Charlotte </w:t>
      </w:r>
      <w:proofErr w:type="spellStart"/>
      <w:r w:rsidRPr="00444145">
        <w:t>MacAlister</w:t>
      </w:r>
      <w:proofErr w:type="spellEnd"/>
      <w:r w:rsidR="00D81812">
        <w:t>, IWMI NBDC project leader; Lisa-Maria Rebelo</w:t>
      </w:r>
      <w:r w:rsidR="00D81812">
        <w:t xml:space="preserve">, IWMI NBDC </w:t>
      </w:r>
      <w:r w:rsidR="00D81812">
        <w:t>researcher</w:t>
      </w:r>
    </w:p>
    <w:p w:rsidR="00F81714" w:rsidRPr="00444145" w:rsidRDefault="00444145" w:rsidP="00D81812">
      <w:pPr>
        <w:jc w:val="center"/>
      </w:pPr>
      <w:r w:rsidRPr="00444145">
        <w:t>2</w:t>
      </w:r>
      <w:r w:rsidR="00D81812">
        <w:t>9</w:t>
      </w:r>
      <w:r w:rsidRPr="00444145">
        <w:t xml:space="preserve"> </w:t>
      </w:r>
      <w:r w:rsidR="00F54192" w:rsidRPr="00444145">
        <w:t>November</w:t>
      </w:r>
      <w:r>
        <w:t>,</w:t>
      </w:r>
      <w:r w:rsidR="00F54192" w:rsidRPr="00444145">
        <w:t xml:space="preserve"> 2012</w:t>
      </w:r>
    </w:p>
    <w:p w:rsidR="00D81812" w:rsidRDefault="00D81812" w:rsidP="00F81714">
      <w:pPr>
        <w:rPr>
          <w:b/>
        </w:rPr>
      </w:pPr>
    </w:p>
    <w:p w:rsidR="00634AC7" w:rsidRPr="00634AC7" w:rsidRDefault="00634AC7" w:rsidP="00F81714">
      <w:pPr>
        <w:rPr>
          <w:b/>
        </w:rPr>
      </w:pPr>
      <w:r w:rsidRPr="00634AC7">
        <w:rPr>
          <w:b/>
        </w:rPr>
        <w:t>Introduction</w:t>
      </w:r>
    </w:p>
    <w:p w:rsidR="003D646B" w:rsidRDefault="00F81714" w:rsidP="00384024">
      <w:pPr>
        <w:jc w:val="both"/>
        <w:rPr>
          <w:rFonts w:eastAsia="BatangChe"/>
        </w:rPr>
      </w:pPr>
      <w:r w:rsidRPr="00384024">
        <w:rPr>
          <w:rFonts w:eastAsia="BatangChe"/>
        </w:rPr>
        <w:t xml:space="preserve">As part of the </w:t>
      </w:r>
      <w:r w:rsidR="00DB62DE">
        <w:rPr>
          <w:rFonts w:eastAsia="BatangChe"/>
        </w:rPr>
        <w:t xml:space="preserve">CGIAR </w:t>
      </w:r>
      <w:r w:rsidRPr="00384024">
        <w:rPr>
          <w:rFonts w:eastAsia="BatangChe"/>
        </w:rPr>
        <w:t xml:space="preserve">CPWF </w:t>
      </w:r>
      <w:hyperlink r:id="rId7" w:history="1">
        <w:r w:rsidRPr="008D512F">
          <w:rPr>
            <w:rStyle w:val="Hyperlink"/>
            <w:rFonts w:eastAsia="BatangChe"/>
          </w:rPr>
          <w:t>Nile Basin Development Challenge</w:t>
        </w:r>
      </w:hyperlink>
      <w:r w:rsidRPr="00384024">
        <w:rPr>
          <w:rFonts w:eastAsia="BatangChe"/>
        </w:rPr>
        <w:t xml:space="preserve"> program</w:t>
      </w:r>
      <w:r w:rsidR="00EE56AC" w:rsidRPr="00384024">
        <w:rPr>
          <w:rFonts w:eastAsia="BatangChe"/>
        </w:rPr>
        <w:t xml:space="preserve"> (NBDC)</w:t>
      </w:r>
      <w:r w:rsidRPr="00384024">
        <w:rPr>
          <w:rFonts w:eastAsia="BatangChe"/>
        </w:rPr>
        <w:t xml:space="preserve">, </w:t>
      </w:r>
      <w:r w:rsidR="00A955AA">
        <w:rPr>
          <w:rFonts w:eastAsia="BatangChe"/>
        </w:rPr>
        <w:t>ILRI</w:t>
      </w:r>
      <w:r w:rsidR="00795A1E">
        <w:rPr>
          <w:rFonts w:eastAsia="BatangChe"/>
        </w:rPr>
        <w:t>,</w:t>
      </w:r>
      <w:r w:rsidR="00EE56AC" w:rsidRPr="00384024">
        <w:rPr>
          <w:rFonts w:eastAsia="BatangChe"/>
        </w:rPr>
        <w:t xml:space="preserve"> IWMI </w:t>
      </w:r>
      <w:r w:rsidR="00795A1E">
        <w:rPr>
          <w:rFonts w:eastAsia="BatangChe"/>
        </w:rPr>
        <w:t xml:space="preserve">and local partners </w:t>
      </w:r>
      <w:r w:rsidR="008D512F">
        <w:rPr>
          <w:rFonts w:eastAsia="BatangChe"/>
        </w:rPr>
        <w:t xml:space="preserve">have </w:t>
      </w:r>
      <w:r w:rsidR="00EE56AC" w:rsidRPr="00384024">
        <w:rPr>
          <w:rFonts w:eastAsia="BatangChe"/>
        </w:rPr>
        <w:t>collaborated i</w:t>
      </w:r>
      <w:r w:rsidR="002A6A8F" w:rsidRPr="00384024">
        <w:rPr>
          <w:rFonts w:eastAsia="BatangChe"/>
        </w:rPr>
        <w:t>n a project “on targeting and scaling out” of rainwater management strategies (RMS) in the Blue Nile basin, Ethiopia</w:t>
      </w:r>
      <w:r w:rsidR="00D81812">
        <w:rPr>
          <w:rFonts w:eastAsia="BatangChe"/>
        </w:rPr>
        <w:t xml:space="preserve"> (</w:t>
      </w:r>
      <w:r w:rsidR="00D81812" w:rsidRPr="00D81812">
        <w:rPr>
          <w:rStyle w:val="Hyperlink"/>
        </w:rPr>
        <w:t>http://nilebdc.wikispaces.com/Nile+3</w:t>
      </w:r>
      <w:r w:rsidR="00D81812">
        <w:rPr>
          <w:rFonts w:eastAsia="BatangChe"/>
        </w:rPr>
        <w:t>)</w:t>
      </w:r>
      <w:r w:rsidR="002A6A8F" w:rsidRPr="00384024">
        <w:rPr>
          <w:rFonts w:eastAsia="BatangChe"/>
        </w:rPr>
        <w:t xml:space="preserve">.  The project </w:t>
      </w:r>
      <w:r w:rsidR="00DB62DE">
        <w:rPr>
          <w:rFonts w:eastAsia="BatangChe"/>
        </w:rPr>
        <w:t xml:space="preserve">has </w:t>
      </w:r>
      <w:r w:rsidR="002A6A8F" w:rsidRPr="00384024">
        <w:rPr>
          <w:rFonts w:eastAsia="BatangChe"/>
        </w:rPr>
        <w:t xml:space="preserve">mapped recommendation domains for a number of RMS based on bio-physical suitability and likely adoption.  It also developed a framework for </w:t>
      </w:r>
      <w:r w:rsidR="00EE56AC" w:rsidRPr="00384024">
        <w:rPr>
          <w:rFonts w:eastAsia="BatangChe"/>
        </w:rPr>
        <w:t>priority setting of such RMS, therein</w:t>
      </w:r>
      <w:r w:rsidR="00E37199">
        <w:rPr>
          <w:rFonts w:eastAsia="BatangChe"/>
        </w:rPr>
        <w:t>,</w:t>
      </w:r>
      <w:r w:rsidR="00EE56AC" w:rsidRPr="00384024">
        <w:rPr>
          <w:rFonts w:eastAsia="BatangChe"/>
        </w:rPr>
        <w:t xml:space="preserve"> intrinsically linking priority setting</w:t>
      </w:r>
      <w:r w:rsidR="002A6A8F" w:rsidRPr="00384024">
        <w:rPr>
          <w:rFonts w:eastAsia="BatangChe"/>
        </w:rPr>
        <w:t xml:space="preserve"> with impact assessment</w:t>
      </w:r>
      <w:r w:rsidR="00094568" w:rsidRPr="00384024">
        <w:rPr>
          <w:rFonts w:eastAsia="BatangChe"/>
        </w:rPr>
        <w:t xml:space="preserve">. </w:t>
      </w:r>
      <w:r w:rsidR="00DB62DE">
        <w:rPr>
          <w:rFonts w:eastAsia="BatangChe"/>
        </w:rPr>
        <w:t>Though unfinished, these questions of targeting and scaling out</w:t>
      </w:r>
      <w:r w:rsidR="003D646B">
        <w:rPr>
          <w:rFonts w:eastAsia="BatangChe"/>
        </w:rPr>
        <w:t xml:space="preserve">, now accompanied by pertinent data, analysis and decision-making tools, has created a lot of interest from a range of stakeholders. As with any good innovative research, opportunities for not only improvement but also validation and utilisation have been triggered through the research process. </w:t>
      </w:r>
    </w:p>
    <w:p w:rsidR="00F81714" w:rsidRPr="00384024" w:rsidRDefault="003D646B" w:rsidP="00384024">
      <w:pPr>
        <w:jc w:val="both"/>
        <w:rPr>
          <w:rFonts w:eastAsia="BatangChe"/>
        </w:rPr>
      </w:pPr>
      <w:r>
        <w:rPr>
          <w:rFonts w:eastAsia="BatangChe"/>
        </w:rPr>
        <w:t xml:space="preserve">With </w:t>
      </w:r>
      <w:r w:rsidRPr="00384024">
        <w:rPr>
          <w:rFonts w:eastAsia="BatangChe"/>
        </w:rPr>
        <w:t>th</w:t>
      </w:r>
      <w:r>
        <w:rPr>
          <w:rFonts w:eastAsia="BatangChe"/>
        </w:rPr>
        <w:t>is component of the NBDC (known contractually as N3)</w:t>
      </w:r>
      <w:r w:rsidRPr="00384024">
        <w:rPr>
          <w:rFonts w:eastAsia="BatangChe"/>
        </w:rPr>
        <w:t xml:space="preserve"> </w:t>
      </w:r>
      <w:r>
        <w:rPr>
          <w:rFonts w:eastAsia="BatangChe"/>
        </w:rPr>
        <w:t>ending in</w:t>
      </w:r>
      <w:r w:rsidRPr="00384024">
        <w:rPr>
          <w:rFonts w:eastAsia="BatangChe"/>
        </w:rPr>
        <w:t xml:space="preserve"> December 2012</w:t>
      </w:r>
      <w:r>
        <w:rPr>
          <w:rFonts w:eastAsia="BatangChe"/>
        </w:rPr>
        <w:t xml:space="preserve"> and the full NBDC p</w:t>
      </w:r>
      <w:r w:rsidR="00D81812">
        <w:rPr>
          <w:rFonts w:eastAsia="BatangChe"/>
        </w:rPr>
        <w:t>rogramme continuing to end 2013.  T</w:t>
      </w:r>
      <w:r>
        <w:rPr>
          <w:rFonts w:eastAsia="BatangChe"/>
        </w:rPr>
        <w:t>his Concept Note lays out the opportunities and R4D areas to both strengthen the research and enable its application in development processes in the Nile Basin.</w:t>
      </w:r>
      <w:r w:rsidR="00094568" w:rsidRPr="00384024">
        <w:rPr>
          <w:rFonts w:eastAsia="BatangChe"/>
        </w:rPr>
        <w:t xml:space="preserve"> </w:t>
      </w:r>
    </w:p>
    <w:p w:rsidR="00131A52" w:rsidRDefault="00741736" w:rsidP="00131A52">
      <w:pPr>
        <w:jc w:val="both"/>
        <w:rPr>
          <w:rFonts w:eastAsia="BatangChe"/>
        </w:rPr>
      </w:pPr>
      <w:r>
        <w:rPr>
          <w:rFonts w:eastAsia="BatangChe"/>
        </w:rPr>
        <w:t xml:space="preserve">2013 provides a real opportunity to fully exploit </w:t>
      </w:r>
      <w:r w:rsidR="007E5C61" w:rsidRPr="00384024">
        <w:rPr>
          <w:rFonts w:eastAsia="BatangChe"/>
        </w:rPr>
        <w:t>the products and outcomes arising from the work to date</w:t>
      </w:r>
      <w:r w:rsidR="00E42E21">
        <w:rPr>
          <w:rFonts w:eastAsia="BatangChe"/>
        </w:rPr>
        <w:t xml:space="preserve">, </w:t>
      </w:r>
      <w:r w:rsidR="00A955AA">
        <w:rPr>
          <w:rFonts w:eastAsia="BatangChe"/>
        </w:rPr>
        <w:t>both at the local and national level</w:t>
      </w:r>
      <w:r w:rsidR="0018372A">
        <w:rPr>
          <w:rFonts w:eastAsia="BatangChe"/>
        </w:rPr>
        <w:t xml:space="preserve">, strengthening the overall NBDC R4D while potentially contributing as a new area of work to the CRP5 WLE </w:t>
      </w:r>
      <w:proofErr w:type="spellStart"/>
      <w:r w:rsidR="0018372A">
        <w:rPr>
          <w:rFonts w:eastAsia="BatangChe"/>
        </w:rPr>
        <w:t>Rainfed</w:t>
      </w:r>
      <w:proofErr w:type="spellEnd"/>
      <w:r w:rsidR="0018372A">
        <w:rPr>
          <w:rFonts w:eastAsia="BatangChe"/>
        </w:rPr>
        <w:t xml:space="preserve"> Systems SRP.</w:t>
      </w:r>
    </w:p>
    <w:p w:rsidR="001946E3" w:rsidRPr="00601A35" w:rsidRDefault="001946E3" w:rsidP="00131A52">
      <w:pPr>
        <w:jc w:val="both"/>
        <w:rPr>
          <w:rFonts w:eastAsia="BatangChe"/>
          <w:b/>
        </w:rPr>
      </w:pPr>
      <w:r w:rsidRPr="00601A35">
        <w:rPr>
          <w:rFonts w:eastAsia="BatangChe"/>
          <w:b/>
        </w:rPr>
        <w:t>The work</w:t>
      </w:r>
    </w:p>
    <w:p w:rsidR="00131A52" w:rsidRPr="00384024" w:rsidRDefault="00E37199" w:rsidP="00131A52">
      <w:pPr>
        <w:jc w:val="both"/>
        <w:rPr>
          <w:rFonts w:eastAsia="BatangChe"/>
        </w:rPr>
      </w:pPr>
      <w:r>
        <w:rPr>
          <w:rFonts w:eastAsia="BatangChe"/>
        </w:rPr>
        <w:t>To date</w:t>
      </w:r>
      <w:r w:rsidR="00EE56AC" w:rsidRPr="00384024">
        <w:rPr>
          <w:rFonts w:eastAsia="BatangChe"/>
        </w:rPr>
        <w:t xml:space="preserve"> </w:t>
      </w:r>
      <w:r w:rsidR="00741736">
        <w:rPr>
          <w:rFonts w:eastAsia="BatangChe"/>
        </w:rPr>
        <w:t xml:space="preserve">the project team has </w:t>
      </w:r>
      <w:r w:rsidR="00A955AA">
        <w:rPr>
          <w:rFonts w:eastAsia="BatangChe"/>
        </w:rPr>
        <w:t xml:space="preserve">established good linkages with </w:t>
      </w:r>
      <w:r>
        <w:rPr>
          <w:rFonts w:eastAsia="BatangChe"/>
        </w:rPr>
        <w:t xml:space="preserve">NBDC </w:t>
      </w:r>
      <w:r w:rsidR="00741736">
        <w:rPr>
          <w:rFonts w:eastAsia="BatangChe"/>
        </w:rPr>
        <w:t>P</w:t>
      </w:r>
      <w:r w:rsidR="00A955AA">
        <w:rPr>
          <w:rFonts w:eastAsia="BatangChe"/>
        </w:rPr>
        <w:t xml:space="preserve">roject </w:t>
      </w:r>
      <w:r>
        <w:rPr>
          <w:rFonts w:eastAsia="BatangChe"/>
        </w:rPr>
        <w:t xml:space="preserve">4, </w:t>
      </w:r>
      <w:r w:rsidR="00A955AA">
        <w:rPr>
          <w:rFonts w:eastAsia="BatangChe"/>
        </w:rPr>
        <w:t>focusing</w:t>
      </w:r>
      <w:r w:rsidR="00741736">
        <w:rPr>
          <w:rFonts w:eastAsia="BatangChe"/>
        </w:rPr>
        <w:t xml:space="preserve"> particularly</w:t>
      </w:r>
      <w:r w:rsidR="00A955AA">
        <w:rPr>
          <w:rFonts w:eastAsia="BatangChe"/>
        </w:rPr>
        <w:t xml:space="preserve"> on impact assessment.  </w:t>
      </w:r>
      <w:r w:rsidR="005D2540">
        <w:rPr>
          <w:rFonts w:eastAsia="BatangChe"/>
        </w:rPr>
        <w:t>The strategy maps produced will be provided t</w:t>
      </w:r>
      <w:r w:rsidR="00741736">
        <w:rPr>
          <w:rFonts w:eastAsia="BatangChe"/>
        </w:rPr>
        <w:t xml:space="preserve">o the NBDC </w:t>
      </w:r>
      <w:r w:rsidR="005D2540">
        <w:rPr>
          <w:rFonts w:eastAsia="BatangChe"/>
        </w:rPr>
        <w:t>modellers by the end of November</w:t>
      </w:r>
      <w:r w:rsidR="00741736">
        <w:rPr>
          <w:rFonts w:eastAsia="BatangChe"/>
        </w:rPr>
        <w:t xml:space="preserve"> 2012 and a</w:t>
      </w:r>
      <w:r w:rsidR="005D2540">
        <w:rPr>
          <w:rFonts w:eastAsia="BatangChe"/>
        </w:rPr>
        <w:t xml:space="preserve">t this point they </w:t>
      </w:r>
      <w:r w:rsidR="00741736">
        <w:rPr>
          <w:rFonts w:eastAsia="BatangChe"/>
        </w:rPr>
        <w:t xml:space="preserve">will </w:t>
      </w:r>
      <w:r w:rsidR="005D2540">
        <w:rPr>
          <w:rFonts w:eastAsia="BatangChe"/>
        </w:rPr>
        <w:t>be tested in the established</w:t>
      </w:r>
      <w:r>
        <w:rPr>
          <w:rFonts w:eastAsia="BatangChe"/>
        </w:rPr>
        <w:t xml:space="preserve"> </w:t>
      </w:r>
      <w:r w:rsidR="00131A52">
        <w:rPr>
          <w:rFonts w:eastAsia="BatangChe"/>
        </w:rPr>
        <w:t>models</w:t>
      </w:r>
      <w:r w:rsidR="005D2540">
        <w:rPr>
          <w:rFonts w:eastAsia="BatangChe"/>
        </w:rPr>
        <w:t>. Outputs from such ‘impact assessments’</w:t>
      </w:r>
      <w:r w:rsidR="00131A52">
        <w:rPr>
          <w:rFonts w:eastAsia="BatangChe"/>
        </w:rPr>
        <w:t xml:space="preserve"> are </w:t>
      </w:r>
      <w:r w:rsidR="005D2540">
        <w:rPr>
          <w:rFonts w:eastAsia="BatangChe"/>
        </w:rPr>
        <w:t xml:space="preserve">expected </w:t>
      </w:r>
      <w:r w:rsidR="00131A52">
        <w:rPr>
          <w:rFonts w:eastAsia="BatangChe"/>
        </w:rPr>
        <w:t xml:space="preserve">to be </w:t>
      </w:r>
      <w:r w:rsidR="005D2540">
        <w:rPr>
          <w:rFonts w:eastAsia="BatangChe"/>
        </w:rPr>
        <w:t xml:space="preserve">available in early </w:t>
      </w:r>
      <w:r w:rsidR="00131A52">
        <w:rPr>
          <w:rFonts w:eastAsia="BatangChe"/>
        </w:rPr>
        <w:t>2013</w:t>
      </w:r>
      <w:r w:rsidR="005D2540">
        <w:rPr>
          <w:rFonts w:eastAsia="BatangChe"/>
        </w:rPr>
        <w:t xml:space="preserve">. As NBDC 3 will have </w:t>
      </w:r>
      <w:r w:rsidR="00460562">
        <w:rPr>
          <w:rFonts w:eastAsia="BatangChe"/>
        </w:rPr>
        <w:t xml:space="preserve">effectively ended by this point, </w:t>
      </w:r>
      <w:r w:rsidR="00EC243B" w:rsidRPr="00384024">
        <w:rPr>
          <w:rFonts w:eastAsia="BatangChe"/>
        </w:rPr>
        <w:t xml:space="preserve">we </w:t>
      </w:r>
      <w:r w:rsidR="00460562">
        <w:rPr>
          <w:rFonts w:eastAsia="BatangChe"/>
        </w:rPr>
        <w:t>will not</w:t>
      </w:r>
      <w:r w:rsidR="00EC243B" w:rsidRPr="00384024">
        <w:rPr>
          <w:rFonts w:eastAsia="BatangChe"/>
        </w:rPr>
        <w:t xml:space="preserve"> be able to include the</w:t>
      </w:r>
      <w:r w:rsidR="005D2540">
        <w:rPr>
          <w:rFonts w:eastAsia="BatangChe"/>
        </w:rPr>
        <w:t xml:space="preserve"> biophysical impacts</w:t>
      </w:r>
      <w:r w:rsidR="00EC243B" w:rsidRPr="00384024">
        <w:rPr>
          <w:rFonts w:eastAsia="BatangChe"/>
        </w:rPr>
        <w:t xml:space="preserve"> </w:t>
      </w:r>
      <w:r w:rsidR="005D2540">
        <w:rPr>
          <w:rFonts w:eastAsia="BatangChe"/>
        </w:rPr>
        <w:t xml:space="preserve">as feedback </w:t>
      </w:r>
      <w:r w:rsidR="00EC243B" w:rsidRPr="00384024">
        <w:rPr>
          <w:rFonts w:eastAsia="BatangChe"/>
        </w:rPr>
        <w:t xml:space="preserve">into our </w:t>
      </w:r>
      <w:r w:rsidR="0067339F">
        <w:rPr>
          <w:rFonts w:eastAsia="BatangChe"/>
        </w:rPr>
        <w:t>definitions and descriptions of potential strategies to test</w:t>
      </w:r>
      <w:r w:rsidR="00EC243B" w:rsidRPr="00384024">
        <w:rPr>
          <w:rFonts w:eastAsia="BatangChe"/>
        </w:rPr>
        <w:t xml:space="preserve">.  </w:t>
      </w:r>
      <w:r w:rsidR="0067339F">
        <w:rPr>
          <w:rFonts w:eastAsia="BatangChe"/>
        </w:rPr>
        <w:t xml:space="preserve">Nor will we have been able to include </w:t>
      </w:r>
      <w:r w:rsidR="0067339F" w:rsidRPr="00384024">
        <w:rPr>
          <w:rFonts w:eastAsia="BatangChe"/>
        </w:rPr>
        <w:t>livelihoods and full eco-systems dimensions</w:t>
      </w:r>
      <w:r w:rsidR="0067339F">
        <w:rPr>
          <w:rFonts w:eastAsia="BatangChe"/>
        </w:rPr>
        <w:t xml:space="preserve"> in the impact assessments, </w:t>
      </w:r>
      <w:r w:rsidR="00460562">
        <w:rPr>
          <w:rFonts w:eastAsia="BatangChe"/>
        </w:rPr>
        <w:t xml:space="preserve">and the consecutive </w:t>
      </w:r>
      <w:r w:rsidR="0067339F">
        <w:rPr>
          <w:rFonts w:eastAsia="BatangChe"/>
        </w:rPr>
        <w:t>refinement of best-bet strategies and priority setting.</w:t>
      </w:r>
      <w:r w:rsidR="0067339F" w:rsidRPr="00384024">
        <w:rPr>
          <w:rFonts w:eastAsia="BatangChe"/>
        </w:rPr>
        <w:t xml:space="preserve"> </w:t>
      </w:r>
      <w:r w:rsidR="00EC243B" w:rsidRPr="00384024">
        <w:rPr>
          <w:rFonts w:eastAsia="BatangChe"/>
        </w:rPr>
        <w:t>Only through a full assessment along different dimensions and weighing their</w:t>
      </w:r>
      <w:r w:rsidR="00634AC7" w:rsidRPr="00384024">
        <w:rPr>
          <w:rFonts w:eastAsia="BatangChe"/>
        </w:rPr>
        <w:t xml:space="preserve"> relative</w:t>
      </w:r>
      <w:r w:rsidR="00EC243B" w:rsidRPr="00384024">
        <w:rPr>
          <w:rFonts w:eastAsia="BatangChe"/>
        </w:rPr>
        <w:t xml:space="preserve"> importance, will we be able to do a full-fledged priority setting.  </w:t>
      </w:r>
      <w:r w:rsidR="00634AC7" w:rsidRPr="00384024">
        <w:rPr>
          <w:rFonts w:eastAsia="BatangChe"/>
        </w:rPr>
        <w:t>I</w:t>
      </w:r>
      <w:r w:rsidR="00634AC7">
        <w:rPr>
          <w:rFonts w:eastAsia="BatangChe"/>
        </w:rPr>
        <w:t>t</w:t>
      </w:r>
      <w:r w:rsidR="00634AC7" w:rsidRPr="007A1AB7">
        <w:rPr>
          <w:rFonts w:eastAsia="BatangChe"/>
        </w:rPr>
        <w:t xml:space="preserve"> is </w:t>
      </w:r>
      <w:r w:rsidR="00634AC7">
        <w:rPr>
          <w:rFonts w:eastAsia="BatangChe"/>
        </w:rPr>
        <w:t xml:space="preserve">thereby </w:t>
      </w:r>
      <w:r w:rsidR="00634AC7" w:rsidRPr="007A1AB7">
        <w:rPr>
          <w:rFonts w:eastAsia="BatangChe"/>
        </w:rPr>
        <w:t xml:space="preserve">important to </w:t>
      </w:r>
      <w:r w:rsidR="00634AC7" w:rsidRPr="007A1AB7">
        <w:rPr>
          <w:rFonts w:eastAsia="BatangChe"/>
        </w:rPr>
        <w:lastRenderedPageBreak/>
        <w:t>consider the temporal and spatial scales of the impacts of an intervention.</w:t>
      </w:r>
      <w:r w:rsidR="00634AC7">
        <w:rPr>
          <w:rFonts w:eastAsia="BatangChe"/>
        </w:rPr>
        <w:t xml:space="preserve"> </w:t>
      </w:r>
      <w:r w:rsidR="00131A52">
        <w:rPr>
          <w:rFonts w:eastAsia="BatangChe"/>
        </w:rPr>
        <w:t>P</w:t>
      </w:r>
      <w:r w:rsidR="00131A52" w:rsidRPr="00384024">
        <w:rPr>
          <w:rFonts w:eastAsia="BatangChe"/>
        </w:rPr>
        <w:t>riority setting necessar</w:t>
      </w:r>
      <w:r w:rsidR="00131A52">
        <w:rPr>
          <w:rFonts w:eastAsia="BatangChe"/>
        </w:rPr>
        <w:t>il</w:t>
      </w:r>
      <w:r w:rsidR="00131A52" w:rsidRPr="00384024">
        <w:rPr>
          <w:rFonts w:eastAsia="BatangChe"/>
        </w:rPr>
        <w:t xml:space="preserve">y happens in the context of a rapidly changing world (population growth, urbanisation, </w:t>
      </w:r>
      <w:proofErr w:type="spellStart"/>
      <w:r w:rsidR="00131A52" w:rsidRPr="00384024">
        <w:rPr>
          <w:rFonts w:eastAsia="BatangChe"/>
        </w:rPr>
        <w:t>landuse</w:t>
      </w:r>
      <w:proofErr w:type="spellEnd"/>
      <w:r w:rsidR="00131A52" w:rsidRPr="00384024">
        <w:rPr>
          <w:rFonts w:eastAsia="BatangChe"/>
        </w:rPr>
        <w:t xml:space="preserve"> change, climate change). The key will then be to look for “robust” solutions, solutions that perform well in the different plausible futures.  </w:t>
      </w:r>
    </w:p>
    <w:p w:rsidR="00131A52" w:rsidRDefault="00EC243B" w:rsidP="00634AC7">
      <w:pPr>
        <w:jc w:val="both"/>
        <w:rPr>
          <w:rFonts w:eastAsia="BatangChe"/>
        </w:rPr>
      </w:pPr>
      <w:r w:rsidRPr="00384024">
        <w:rPr>
          <w:rFonts w:eastAsia="BatangChe"/>
        </w:rPr>
        <w:t xml:space="preserve">Furthermore, </w:t>
      </w:r>
      <w:r w:rsidR="00EE56AC" w:rsidRPr="00384024">
        <w:rPr>
          <w:rFonts w:eastAsia="BatangChe"/>
        </w:rPr>
        <w:t>the choice of RMS modelled</w:t>
      </w:r>
      <w:r w:rsidR="0067339F">
        <w:rPr>
          <w:rFonts w:eastAsia="BatangChe"/>
        </w:rPr>
        <w:t xml:space="preserve"> and included in the first set of best-bet strategies</w:t>
      </w:r>
      <w:r w:rsidR="00EE56AC" w:rsidRPr="00384024">
        <w:rPr>
          <w:rFonts w:eastAsia="BatangChe"/>
        </w:rPr>
        <w:t xml:space="preserve"> has been informed by literature review and interactions with national and regional stakeholders.  Through the </w:t>
      </w:r>
      <w:r w:rsidR="00A955AA">
        <w:rPr>
          <w:rFonts w:eastAsia="BatangChe"/>
        </w:rPr>
        <w:t xml:space="preserve">local </w:t>
      </w:r>
      <w:r w:rsidR="00EE56AC" w:rsidRPr="00384024">
        <w:rPr>
          <w:rFonts w:eastAsia="BatangChe"/>
        </w:rPr>
        <w:t>Innovation Platforms</w:t>
      </w:r>
      <w:r w:rsidRPr="00384024">
        <w:rPr>
          <w:rFonts w:eastAsia="BatangChe"/>
        </w:rPr>
        <w:t xml:space="preserve"> (IP)</w:t>
      </w:r>
      <w:r w:rsidR="00EE56AC" w:rsidRPr="00384024">
        <w:rPr>
          <w:rFonts w:eastAsia="BatangChe"/>
        </w:rPr>
        <w:t xml:space="preserve"> that have been setup in </w:t>
      </w:r>
      <w:r w:rsidR="00795A1E">
        <w:rPr>
          <w:rFonts w:eastAsia="BatangChe"/>
        </w:rPr>
        <w:t xml:space="preserve">one of </w:t>
      </w:r>
      <w:r w:rsidR="00795A1E" w:rsidRPr="00384024">
        <w:rPr>
          <w:rFonts w:eastAsia="BatangChe"/>
        </w:rPr>
        <w:t xml:space="preserve">the </w:t>
      </w:r>
      <w:r w:rsidR="00795A1E">
        <w:rPr>
          <w:rFonts w:eastAsia="BatangChe"/>
        </w:rPr>
        <w:t xml:space="preserve">other </w:t>
      </w:r>
      <w:r w:rsidR="00EE56AC" w:rsidRPr="00384024">
        <w:rPr>
          <w:rFonts w:eastAsia="BatangChe"/>
        </w:rPr>
        <w:t xml:space="preserve">related NBDC projects, community-driven suggestions are </w:t>
      </w:r>
      <w:r w:rsidR="001946E3">
        <w:rPr>
          <w:rFonts w:eastAsia="BatangChe"/>
        </w:rPr>
        <w:t xml:space="preserve">only now </w:t>
      </w:r>
      <w:r w:rsidR="00EE56AC" w:rsidRPr="00384024">
        <w:rPr>
          <w:rFonts w:eastAsia="BatangChe"/>
        </w:rPr>
        <w:t xml:space="preserve">beginning to emerge.  </w:t>
      </w:r>
      <w:r w:rsidRPr="00384024">
        <w:rPr>
          <w:rFonts w:eastAsia="BatangChe"/>
        </w:rPr>
        <w:t xml:space="preserve">Mapping their suitability and thinking through the potential impacts should be an important input into the IP discussions and inform their final priority actions.  </w:t>
      </w:r>
    </w:p>
    <w:p w:rsidR="00131A52" w:rsidRDefault="00634AC7" w:rsidP="00634AC7">
      <w:pPr>
        <w:jc w:val="both"/>
        <w:rPr>
          <w:rFonts w:eastAsia="BatangChe"/>
        </w:rPr>
      </w:pPr>
      <w:r w:rsidRPr="00384024">
        <w:rPr>
          <w:rFonts w:eastAsia="BatangChe"/>
        </w:rPr>
        <w:t xml:space="preserve">Finally, </w:t>
      </w:r>
      <w:r w:rsidR="00131A52">
        <w:rPr>
          <w:rFonts w:eastAsia="BatangChe"/>
        </w:rPr>
        <w:t xml:space="preserve">the national level policy platform and its thematic working groups, set up by </w:t>
      </w:r>
      <w:r w:rsidR="001946E3">
        <w:rPr>
          <w:rFonts w:eastAsia="BatangChe"/>
        </w:rPr>
        <w:t>the NBDC</w:t>
      </w:r>
      <w:r w:rsidR="00131A52">
        <w:rPr>
          <w:rFonts w:eastAsia="BatangChe"/>
        </w:rPr>
        <w:t xml:space="preserve"> are already showing interest in our work.  More interaction and in-depth communication with this community will allow us to ensure influence at the national level</w:t>
      </w:r>
      <w:r w:rsidR="00E42E21">
        <w:rPr>
          <w:rFonts w:eastAsia="BatangChe"/>
        </w:rPr>
        <w:t xml:space="preserve"> too</w:t>
      </w:r>
      <w:r w:rsidR="00131A52">
        <w:rPr>
          <w:rFonts w:eastAsia="BatangChe"/>
        </w:rPr>
        <w:t xml:space="preserve">.  </w:t>
      </w:r>
    </w:p>
    <w:p w:rsidR="00EE56AC" w:rsidRPr="00384024" w:rsidRDefault="001946E3" w:rsidP="00384024">
      <w:pPr>
        <w:jc w:val="both"/>
        <w:rPr>
          <w:rFonts w:eastAsia="BatangChe"/>
        </w:rPr>
      </w:pPr>
      <w:r>
        <w:rPr>
          <w:rFonts w:eastAsia="BatangChe"/>
        </w:rPr>
        <w:t>In order to fully exploit the potential of our work to date and see it contribute to NBDC set outcomes, w</w:t>
      </w:r>
      <w:r w:rsidR="00EE56AC" w:rsidRPr="00384024">
        <w:rPr>
          <w:rFonts w:eastAsia="BatangChe"/>
        </w:rPr>
        <w:t xml:space="preserve">e would therefore like to suggest </w:t>
      </w:r>
      <w:r w:rsidR="00F81714" w:rsidRPr="00384024">
        <w:rPr>
          <w:rFonts w:eastAsia="BatangChe"/>
        </w:rPr>
        <w:t>develop</w:t>
      </w:r>
      <w:r w:rsidR="00EE56AC" w:rsidRPr="00384024">
        <w:rPr>
          <w:rFonts w:eastAsia="BatangChe"/>
        </w:rPr>
        <w:t xml:space="preserve">ing the following </w:t>
      </w:r>
      <w:r w:rsidR="00F81714" w:rsidRPr="00384024">
        <w:rPr>
          <w:rFonts w:eastAsia="BatangChe"/>
        </w:rPr>
        <w:t>element</w:t>
      </w:r>
      <w:r w:rsidR="00634AC7" w:rsidRPr="00384024">
        <w:rPr>
          <w:rFonts w:eastAsia="BatangChe"/>
        </w:rPr>
        <w:t>s</w:t>
      </w:r>
      <w:r w:rsidR="00F81714" w:rsidRPr="00384024">
        <w:rPr>
          <w:rFonts w:eastAsia="BatangChe"/>
        </w:rPr>
        <w:t xml:space="preserve"> </w:t>
      </w:r>
      <w:r w:rsidR="00EE56AC" w:rsidRPr="00384024">
        <w:rPr>
          <w:rFonts w:eastAsia="BatangChe"/>
        </w:rPr>
        <w:t xml:space="preserve">further </w:t>
      </w:r>
      <w:r w:rsidR="00F81714" w:rsidRPr="00384024">
        <w:rPr>
          <w:rFonts w:eastAsia="BatangChe"/>
        </w:rPr>
        <w:t>as part of the ILRI input to WLE</w:t>
      </w:r>
      <w:r w:rsidR="00EE56AC" w:rsidRPr="00384024">
        <w:rPr>
          <w:rFonts w:eastAsia="BatangChe"/>
        </w:rPr>
        <w:t>:</w:t>
      </w:r>
    </w:p>
    <w:p w:rsidR="00634AC7" w:rsidRPr="00384024" w:rsidRDefault="00634AC7" w:rsidP="00384024">
      <w:pPr>
        <w:pStyle w:val="ListParagraph"/>
        <w:numPr>
          <w:ilvl w:val="0"/>
          <w:numId w:val="3"/>
        </w:numPr>
        <w:jc w:val="both"/>
        <w:rPr>
          <w:rFonts w:eastAsia="BatangChe"/>
        </w:rPr>
      </w:pPr>
      <w:r w:rsidRPr="00384024">
        <w:rPr>
          <w:rFonts w:eastAsia="BatangChe"/>
        </w:rPr>
        <w:t>Complete the feedback-loop of impact assessment and priority setting along different dimensions for interventions at different scales (nationally, regionally and community-driven)</w:t>
      </w:r>
    </w:p>
    <w:p w:rsidR="00EE56AC" w:rsidRPr="00384024" w:rsidRDefault="00634AC7" w:rsidP="00384024">
      <w:pPr>
        <w:pStyle w:val="ListParagraph"/>
        <w:numPr>
          <w:ilvl w:val="0"/>
          <w:numId w:val="3"/>
        </w:numPr>
        <w:jc w:val="both"/>
        <w:rPr>
          <w:rFonts w:eastAsia="BatangChe"/>
        </w:rPr>
      </w:pPr>
      <w:r w:rsidRPr="00384024">
        <w:rPr>
          <w:rFonts w:eastAsia="BatangChe"/>
        </w:rPr>
        <w:t xml:space="preserve">Assess their robustness in </w:t>
      </w:r>
      <w:r w:rsidR="00D81812">
        <w:rPr>
          <w:rFonts w:eastAsia="BatangChe"/>
        </w:rPr>
        <w:t>terms of</w:t>
      </w:r>
      <w:r w:rsidRPr="00384024">
        <w:rPr>
          <w:rFonts w:eastAsia="BatangChe"/>
        </w:rPr>
        <w:t xml:space="preserve"> climate change</w:t>
      </w:r>
      <w:r w:rsidR="005D2540">
        <w:rPr>
          <w:rFonts w:eastAsia="BatangChe"/>
        </w:rPr>
        <w:t xml:space="preserve"> scenarios (from NBDC project 4)</w:t>
      </w:r>
      <w:r w:rsidRPr="00384024">
        <w:rPr>
          <w:rFonts w:eastAsia="BatangChe"/>
        </w:rPr>
        <w:t>.</w:t>
      </w:r>
    </w:p>
    <w:p w:rsidR="00F81714" w:rsidRDefault="00EE56AC" w:rsidP="00384024">
      <w:pPr>
        <w:jc w:val="both"/>
        <w:rPr>
          <w:rFonts w:eastAsia="BatangChe"/>
        </w:rPr>
      </w:pPr>
      <w:r w:rsidRPr="00384024">
        <w:rPr>
          <w:rFonts w:eastAsia="BatangChe"/>
        </w:rPr>
        <w:t xml:space="preserve">These </w:t>
      </w:r>
      <w:r w:rsidR="00795A1E">
        <w:rPr>
          <w:rFonts w:eastAsia="BatangChe"/>
        </w:rPr>
        <w:t xml:space="preserve">combined </w:t>
      </w:r>
      <w:r w:rsidRPr="00384024">
        <w:rPr>
          <w:rFonts w:eastAsia="BatangChe"/>
        </w:rPr>
        <w:t xml:space="preserve">activities </w:t>
      </w:r>
      <w:r w:rsidR="00795A1E">
        <w:rPr>
          <w:rFonts w:eastAsia="BatangChe"/>
        </w:rPr>
        <w:t xml:space="preserve">would allow us to utilise and exploit the current projects outputs fully, show impact on local populations, their livelihoods and eco-system services and influence policy at the national level.  In addition to that, they </w:t>
      </w:r>
      <w:r w:rsidRPr="00384024">
        <w:rPr>
          <w:rFonts w:eastAsia="BatangChe"/>
        </w:rPr>
        <w:t>would</w:t>
      </w:r>
      <w:r w:rsidR="00F81714" w:rsidRPr="00384024">
        <w:rPr>
          <w:rFonts w:eastAsia="BatangChe"/>
        </w:rPr>
        <w:t xml:space="preserve"> ensure continued </w:t>
      </w:r>
      <w:r w:rsidRPr="00384024">
        <w:rPr>
          <w:rFonts w:eastAsia="BatangChe"/>
        </w:rPr>
        <w:t>substantive</w:t>
      </w:r>
      <w:r w:rsidR="00F81714" w:rsidRPr="00384024">
        <w:rPr>
          <w:rFonts w:eastAsia="BatangChe"/>
        </w:rPr>
        <w:t xml:space="preserve"> input </w:t>
      </w:r>
      <w:r w:rsidRPr="00384024">
        <w:rPr>
          <w:rFonts w:eastAsia="BatangChe"/>
        </w:rPr>
        <w:t xml:space="preserve">from </w:t>
      </w:r>
      <w:r w:rsidR="00402137">
        <w:rPr>
          <w:rFonts w:eastAsia="BatangChe"/>
        </w:rPr>
        <w:t>ILRI</w:t>
      </w:r>
      <w:r w:rsidR="00444145" w:rsidRPr="00444145">
        <w:t xml:space="preserve"> </w:t>
      </w:r>
      <w:r w:rsidR="00444145" w:rsidRPr="00444145">
        <w:rPr>
          <w:rFonts w:eastAsia="BatangChe"/>
        </w:rPr>
        <w:t>and IWMI</w:t>
      </w:r>
      <w:r w:rsidR="00444145">
        <w:rPr>
          <w:rFonts w:eastAsia="BatangChe"/>
        </w:rPr>
        <w:t xml:space="preserve"> </w:t>
      </w:r>
      <w:r w:rsidR="00402137">
        <w:rPr>
          <w:rFonts w:eastAsia="BatangChe"/>
        </w:rPr>
        <w:t>in</w:t>
      </w:r>
      <w:r w:rsidR="00F81714" w:rsidRPr="00384024">
        <w:rPr>
          <w:rFonts w:eastAsia="BatangChe"/>
        </w:rPr>
        <w:t xml:space="preserve">to WLE and </w:t>
      </w:r>
      <w:r w:rsidRPr="00384024">
        <w:rPr>
          <w:rFonts w:eastAsia="BatangChe"/>
        </w:rPr>
        <w:t xml:space="preserve">the </w:t>
      </w:r>
      <w:r w:rsidR="00F81714" w:rsidRPr="00384024">
        <w:rPr>
          <w:rFonts w:eastAsia="BatangChe"/>
        </w:rPr>
        <w:t xml:space="preserve">representation of </w:t>
      </w:r>
      <w:r w:rsidR="00444145">
        <w:rPr>
          <w:rFonts w:eastAsia="BatangChe"/>
        </w:rPr>
        <w:t xml:space="preserve">both water and </w:t>
      </w:r>
      <w:r w:rsidR="00F81714" w:rsidRPr="00384024">
        <w:rPr>
          <w:rFonts w:eastAsia="BatangChe"/>
        </w:rPr>
        <w:t>livestock systems in NRM.</w:t>
      </w:r>
    </w:p>
    <w:p w:rsidR="00D81812" w:rsidRDefault="00D81812" w:rsidP="00384024">
      <w:pPr>
        <w:jc w:val="both"/>
        <w:rPr>
          <w:rFonts w:eastAsia="BatangChe"/>
          <w:b/>
        </w:rPr>
      </w:pPr>
    </w:p>
    <w:p w:rsidR="00384024" w:rsidRPr="00384024" w:rsidRDefault="00402137" w:rsidP="00384024">
      <w:pPr>
        <w:jc w:val="both"/>
        <w:rPr>
          <w:rFonts w:eastAsia="BatangChe"/>
          <w:b/>
        </w:rPr>
      </w:pPr>
      <w:proofErr w:type="spellStart"/>
      <w:r>
        <w:rPr>
          <w:rFonts w:eastAsia="BatangChe"/>
          <w:b/>
        </w:rPr>
        <w:t>Workplan</w:t>
      </w:r>
      <w:proofErr w:type="spellEnd"/>
      <w:r w:rsidR="000B74D0">
        <w:rPr>
          <w:rFonts w:eastAsia="BatangChe"/>
          <w:b/>
        </w:rPr>
        <w:t xml:space="preserve"> – from 1 January 2013 to 30 June 2014 </w:t>
      </w:r>
    </w:p>
    <w:p w:rsidR="00384024" w:rsidRDefault="00384024" w:rsidP="00384024">
      <w:pPr>
        <w:pStyle w:val="ListParagraph"/>
        <w:numPr>
          <w:ilvl w:val="0"/>
          <w:numId w:val="4"/>
        </w:numPr>
        <w:jc w:val="both"/>
        <w:rPr>
          <w:rFonts w:eastAsia="BatangChe"/>
        </w:rPr>
      </w:pPr>
      <w:r>
        <w:rPr>
          <w:rFonts w:eastAsia="BatangChe"/>
        </w:rPr>
        <w:t>Characterisation of community-driven intervention scenario</w:t>
      </w:r>
      <w:r w:rsidR="00E416F1">
        <w:rPr>
          <w:rFonts w:eastAsia="BatangChe"/>
        </w:rPr>
        <w:t>s</w:t>
      </w:r>
      <w:r w:rsidR="005D2540">
        <w:rPr>
          <w:rFonts w:eastAsia="BatangChe"/>
        </w:rPr>
        <w:t>;</w:t>
      </w:r>
    </w:p>
    <w:p w:rsidR="00402137" w:rsidRPr="00402137" w:rsidRDefault="0079285C" w:rsidP="00402137">
      <w:pPr>
        <w:pStyle w:val="ListParagraph"/>
        <w:numPr>
          <w:ilvl w:val="0"/>
          <w:numId w:val="4"/>
        </w:numPr>
        <w:jc w:val="both"/>
        <w:rPr>
          <w:rFonts w:eastAsia="BatangChe"/>
        </w:rPr>
      </w:pPr>
      <w:r>
        <w:rPr>
          <w:rFonts w:eastAsia="BatangChe"/>
        </w:rPr>
        <w:t>Collection/</w:t>
      </w:r>
      <w:r w:rsidR="00402137">
        <w:rPr>
          <w:rFonts w:eastAsia="BatangChe"/>
        </w:rPr>
        <w:t xml:space="preserve">collation of data for scenarios of </w:t>
      </w:r>
      <w:r w:rsidR="005D2540">
        <w:rPr>
          <w:rFonts w:eastAsia="BatangChe"/>
        </w:rPr>
        <w:t xml:space="preserve">climate and </w:t>
      </w:r>
      <w:r w:rsidR="00402137">
        <w:rPr>
          <w:rFonts w:eastAsia="BatangChe"/>
        </w:rPr>
        <w:t>global change</w:t>
      </w:r>
      <w:r w:rsidR="005D2540">
        <w:rPr>
          <w:rFonts w:eastAsia="BatangChe"/>
        </w:rPr>
        <w:t>;</w:t>
      </w:r>
    </w:p>
    <w:p w:rsidR="00384024" w:rsidRDefault="00402137" w:rsidP="00384024">
      <w:pPr>
        <w:pStyle w:val="ListParagraph"/>
        <w:numPr>
          <w:ilvl w:val="0"/>
          <w:numId w:val="4"/>
        </w:numPr>
        <w:rPr>
          <w:rFonts w:eastAsia="BatangChe"/>
        </w:rPr>
      </w:pPr>
      <w:r>
        <w:rPr>
          <w:rFonts w:eastAsia="BatangChe"/>
        </w:rPr>
        <w:t>Impact assessment along the different dimensions</w:t>
      </w:r>
      <w:r w:rsidR="00E416F1">
        <w:rPr>
          <w:rFonts w:eastAsia="BatangChe"/>
        </w:rPr>
        <w:t xml:space="preserve"> of the expert-driven and community-driven scenarios</w:t>
      </w:r>
      <w:r w:rsidR="005D2540">
        <w:rPr>
          <w:rFonts w:eastAsia="BatangChe"/>
        </w:rPr>
        <w:t>;</w:t>
      </w:r>
    </w:p>
    <w:p w:rsidR="0067339F" w:rsidRPr="00600E98" w:rsidRDefault="0067339F" w:rsidP="00600E98">
      <w:pPr>
        <w:pStyle w:val="ListParagraph"/>
        <w:numPr>
          <w:ilvl w:val="0"/>
          <w:numId w:val="4"/>
        </w:numPr>
        <w:jc w:val="both"/>
        <w:rPr>
          <w:rFonts w:eastAsia="BatangChe"/>
        </w:rPr>
      </w:pPr>
      <w:r>
        <w:rPr>
          <w:rFonts w:eastAsia="BatangChe"/>
        </w:rPr>
        <w:t>Incorporation of modelled outputs from NBDC 4 into suitability assessments and priority setting;</w:t>
      </w:r>
    </w:p>
    <w:p w:rsidR="00795A1E" w:rsidRDefault="00795A1E" w:rsidP="00384024">
      <w:pPr>
        <w:pStyle w:val="ListParagraph"/>
        <w:numPr>
          <w:ilvl w:val="0"/>
          <w:numId w:val="4"/>
        </w:numPr>
        <w:rPr>
          <w:rFonts w:eastAsia="BatangChe"/>
        </w:rPr>
      </w:pPr>
      <w:r>
        <w:rPr>
          <w:rFonts w:eastAsia="BatangChe"/>
        </w:rPr>
        <w:t>Effective utilisation and application of scenarios at local and national levels</w:t>
      </w:r>
      <w:r w:rsidR="005D2540">
        <w:rPr>
          <w:rFonts w:eastAsia="BatangChe"/>
        </w:rPr>
        <w:t>.</w:t>
      </w:r>
    </w:p>
    <w:p w:rsidR="005D2540" w:rsidRDefault="005D2540" w:rsidP="00384024">
      <w:pPr>
        <w:jc w:val="both"/>
        <w:rPr>
          <w:rFonts w:eastAsia="BatangChe"/>
          <w:b/>
        </w:rPr>
      </w:pPr>
    </w:p>
    <w:p w:rsidR="00D81812" w:rsidRDefault="00D81812" w:rsidP="00384024">
      <w:pPr>
        <w:jc w:val="both"/>
        <w:rPr>
          <w:rFonts w:eastAsia="BatangChe"/>
          <w:b/>
        </w:rPr>
      </w:pPr>
    </w:p>
    <w:p w:rsidR="00D81812" w:rsidRDefault="00D81812" w:rsidP="00384024">
      <w:pPr>
        <w:jc w:val="both"/>
        <w:rPr>
          <w:rFonts w:eastAsia="BatangChe"/>
          <w:b/>
        </w:rPr>
      </w:pPr>
    </w:p>
    <w:p w:rsidR="00B12F73" w:rsidRPr="000B74D0" w:rsidRDefault="000B74D0" w:rsidP="00384024">
      <w:pPr>
        <w:jc w:val="both"/>
        <w:rPr>
          <w:rFonts w:eastAsia="BatangChe"/>
          <w:b/>
        </w:rPr>
      </w:pPr>
      <w:bookmarkStart w:id="0" w:name="_GoBack"/>
      <w:bookmarkEnd w:id="0"/>
      <w:r w:rsidRPr="000B74D0">
        <w:rPr>
          <w:rFonts w:eastAsia="BatangChe"/>
          <w:b/>
        </w:rPr>
        <w:lastRenderedPageBreak/>
        <w:t xml:space="preserve">Indicative budget = </w:t>
      </w:r>
      <w:r w:rsidR="00600E98">
        <w:rPr>
          <w:rFonts w:eastAsia="BatangChe"/>
          <w:b/>
        </w:rPr>
        <w:t>399,500</w:t>
      </w:r>
      <w:r w:rsidR="0067339F" w:rsidRPr="000B74D0">
        <w:rPr>
          <w:rFonts w:eastAsia="BatangChe"/>
          <w:b/>
        </w:rPr>
        <w:t xml:space="preserve"> </w:t>
      </w:r>
      <w:r w:rsidRPr="000B74D0">
        <w:rPr>
          <w:rFonts w:eastAsia="BatangChe"/>
          <w:b/>
        </w:rPr>
        <w:t>USD</w:t>
      </w:r>
    </w:p>
    <w:tbl>
      <w:tblPr>
        <w:tblW w:w="8575" w:type="dxa"/>
        <w:tblInd w:w="93" w:type="dxa"/>
        <w:tblLook w:val="04A0" w:firstRow="1" w:lastRow="0" w:firstColumn="1" w:lastColumn="0" w:noHBand="0" w:noVBand="1"/>
      </w:tblPr>
      <w:tblGrid>
        <w:gridCol w:w="4520"/>
        <w:gridCol w:w="1400"/>
        <w:gridCol w:w="1535"/>
        <w:gridCol w:w="1120"/>
      </w:tblGrid>
      <w:tr w:rsidR="0067339F" w:rsidRPr="0067339F">
        <w:trPr>
          <w:trHeight w:val="300"/>
        </w:trPr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Staff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Monthly rate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No. of months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Total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1 admin support * 2 months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460562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</w:t>
            </w:r>
            <w:r w:rsidR="0067339F"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5,000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10,000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2 research assistant * 4.5 months (IWMI &amp; ILRI)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5,000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45,000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1 junior researcher * 9 months  (ILRI)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12,</w:t>
            </w:r>
            <w:r w:rsidR="00600E98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1</w:t>
            </w:r>
            <w:r w:rsidR="00600E98">
              <w:rPr>
                <w:rFonts w:ascii="Calibri" w:eastAsia="Times New Roman" w:hAnsi="Calibri" w:cs="Calibri"/>
                <w:color w:val="000000"/>
                <w:lang w:val="en-US"/>
              </w:rPr>
              <w:t>08</w:t>
            </w: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>,</w:t>
            </w:r>
            <w:r w:rsidR="00600E98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2 senior researchers * 3 months  (IWMI &amp; ILRI))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15,000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90,000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1 modeler * 3 months (IWMI)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8,000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24,000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Partners for training and support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15,000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30,000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Travel to and from partners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4,000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8,000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Field work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10,000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10,000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International travel 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10,000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10,000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Communication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5,000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               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5,000 </w:t>
            </w:r>
          </w:p>
        </w:tc>
      </w:tr>
      <w:tr w:rsidR="00600E98" w:rsidRPr="0067339F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0E98" w:rsidRPr="0067339F" w:rsidRDefault="00600E98" w:rsidP="0046056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  <w:t xml:space="preserve"> Overhead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0E98" w:rsidRPr="0067339F" w:rsidRDefault="00600E98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0E98" w:rsidRPr="0067339F" w:rsidRDefault="00600E98" w:rsidP="0046056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0E98" w:rsidRDefault="00600E98" w:rsidP="00460562">
            <w:pPr>
              <w:spacing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 xml:space="preserve">        59,500 </w:t>
            </w:r>
          </w:p>
        </w:tc>
      </w:tr>
      <w:tr w:rsidR="0067339F" w:rsidRPr="0067339F">
        <w:trPr>
          <w:trHeight w:val="300"/>
        </w:trPr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Total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</w:tcPr>
          <w:p w:rsidR="0067339F" w:rsidRPr="0067339F" w:rsidRDefault="0067339F" w:rsidP="004605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</w:tcPr>
          <w:p w:rsidR="0067339F" w:rsidRPr="0067339F" w:rsidRDefault="0067339F" w:rsidP="004605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7339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  </w:t>
            </w:r>
            <w:r w:rsidR="00600E98">
              <w:rPr>
                <w:rFonts w:ascii="Calibri" w:hAnsi="Calibri" w:cs="Calibri"/>
                <w:b/>
                <w:bCs/>
                <w:color w:val="000000"/>
              </w:rPr>
              <w:t xml:space="preserve">    399,500 </w:t>
            </w:r>
          </w:p>
        </w:tc>
      </w:tr>
    </w:tbl>
    <w:p w:rsidR="000B74D0" w:rsidRDefault="000B74D0" w:rsidP="00384024">
      <w:pPr>
        <w:jc w:val="both"/>
        <w:rPr>
          <w:rFonts w:eastAsia="BatangChe"/>
        </w:rPr>
      </w:pPr>
    </w:p>
    <w:p w:rsidR="001946E3" w:rsidRPr="00384024" w:rsidRDefault="001946E3" w:rsidP="00384024">
      <w:pPr>
        <w:jc w:val="both"/>
        <w:rPr>
          <w:rFonts w:eastAsia="BatangChe"/>
        </w:rPr>
      </w:pPr>
    </w:p>
    <w:sectPr w:rsidR="001946E3" w:rsidRPr="00384024" w:rsidSect="00993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07"/>
    <w:multiLevelType w:val="hybridMultilevel"/>
    <w:tmpl w:val="EF7C2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54AE6"/>
    <w:multiLevelType w:val="hybridMultilevel"/>
    <w:tmpl w:val="10A04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4464B"/>
    <w:multiLevelType w:val="hybridMultilevel"/>
    <w:tmpl w:val="F822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4026B"/>
    <w:multiLevelType w:val="hybridMultilevel"/>
    <w:tmpl w:val="BCB87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14"/>
    <w:rsid w:val="00005E64"/>
    <w:rsid w:val="00094568"/>
    <w:rsid w:val="000B74D0"/>
    <w:rsid w:val="00122367"/>
    <w:rsid w:val="00131A52"/>
    <w:rsid w:val="0018372A"/>
    <w:rsid w:val="001946E3"/>
    <w:rsid w:val="002A6A8F"/>
    <w:rsid w:val="00384024"/>
    <w:rsid w:val="003D646B"/>
    <w:rsid w:val="00402137"/>
    <w:rsid w:val="00444145"/>
    <w:rsid w:val="00460562"/>
    <w:rsid w:val="005D2540"/>
    <w:rsid w:val="00600E98"/>
    <w:rsid w:val="00601A35"/>
    <w:rsid w:val="00634AC7"/>
    <w:rsid w:val="0067339F"/>
    <w:rsid w:val="00741736"/>
    <w:rsid w:val="0079285C"/>
    <w:rsid w:val="00795A1E"/>
    <w:rsid w:val="007E5C61"/>
    <w:rsid w:val="008D512F"/>
    <w:rsid w:val="009935F4"/>
    <w:rsid w:val="00A75118"/>
    <w:rsid w:val="00A955AA"/>
    <w:rsid w:val="00B12F73"/>
    <w:rsid w:val="00D81812"/>
    <w:rsid w:val="00DB62DE"/>
    <w:rsid w:val="00E37199"/>
    <w:rsid w:val="00E416F1"/>
    <w:rsid w:val="00E42E21"/>
    <w:rsid w:val="00EC243B"/>
    <w:rsid w:val="00EE56AC"/>
    <w:rsid w:val="00F54192"/>
    <w:rsid w:val="00F81714"/>
    <w:rsid w:val="00FD2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1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uiPriority w:val="99"/>
    <w:semiHidden/>
    <w:rsid w:val="00C12EF7"/>
    <w:rPr>
      <w:rFonts w:ascii="Lucida Grande" w:hAnsi="Lucida Grande"/>
      <w:sz w:val="18"/>
      <w:szCs w:val="18"/>
    </w:rPr>
  </w:style>
  <w:style w:type="paragraph" w:customStyle="1" w:styleId="Bodytext1">
    <w:name w:val="Body text 1"/>
    <w:basedOn w:val="Normal"/>
    <w:autoRedefine/>
    <w:rsid w:val="00634AC7"/>
    <w:pPr>
      <w:spacing w:after="160" w:line="288" w:lineRule="auto"/>
    </w:pPr>
    <w:rPr>
      <w:rFonts w:ascii="Times New Roman" w:eastAsia="Times New Roman" w:hAnsi="Times New Roman" w:cs="Arial"/>
      <w:szCs w:val="18"/>
    </w:rPr>
  </w:style>
  <w:style w:type="paragraph" w:styleId="ListParagraph">
    <w:name w:val="List Paragraph"/>
    <w:basedOn w:val="Normal"/>
    <w:uiPriority w:val="34"/>
    <w:qFormat/>
    <w:rsid w:val="00634A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634AC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34AC7"/>
    <w:rPr>
      <w:rFonts w:ascii="Times New Roman" w:eastAsia="Calibri" w:hAnsi="Times New Roman" w:cs="Times New Roman"/>
      <w:color w:val="0000FF"/>
      <w:sz w:val="20"/>
      <w:szCs w:val="20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AC7"/>
    <w:rPr>
      <w:rFonts w:ascii="Times New Roman" w:eastAsia="Calibri" w:hAnsi="Times New Roman" w:cs="Times New Roman"/>
      <w:color w:val="0000FF"/>
      <w:sz w:val="20"/>
      <w:szCs w:val="20"/>
      <w:u w:val="single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AC7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5D2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D512F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736"/>
    <w:pPr>
      <w:spacing w:line="240" w:lineRule="auto"/>
    </w:pPr>
    <w:rPr>
      <w:rFonts w:asciiTheme="minorHAnsi" w:eastAsiaTheme="minorHAnsi" w:hAnsiTheme="minorHAnsi" w:cstheme="minorBidi"/>
      <w:b/>
      <w:bCs/>
      <w:color w:val="auto"/>
      <w:u w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736"/>
    <w:rPr>
      <w:rFonts w:ascii="Times New Roman" w:eastAsia="Calibri" w:hAnsi="Times New Roman" w:cs="Times New Roman"/>
      <w:b/>
      <w:bCs/>
      <w:color w:val="0000FF"/>
      <w:sz w:val="20"/>
      <w:szCs w:val="20"/>
      <w:u w:val="single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1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uiPriority w:val="99"/>
    <w:semiHidden/>
    <w:rsid w:val="00C12EF7"/>
    <w:rPr>
      <w:rFonts w:ascii="Lucida Grande" w:hAnsi="Lucida Grande"/>
      <w:sz w:val="18"/>
      <w:szCs w:val="18"/>
    </w:rPr>
  </w:style>
  <w:style w:type="paragraph" w:customStyle="1" w:styleId="Bodytext1">
    <w:name w:val="Body text 1"/>
    <w:basedOn w:val="Normal"/>
    <w:autoRedefine/>
    <w:rsid w:val="00634AC7"/>
    <w:pPr>
      <w:spacing w:after="160" w:line="288" w:lineRule="auto"/>
    </w:pPr>
    <w:rPr>
      <w:rFonts w:ascii="Times New Roman" w:eastAsia="Times New Roman" w:hAnsi="Times New Roman" w:cs="Arial"/>
      <w:szCs w:val="18"/>
    </w:rPr>
  </w:style>
  <w:style w:type="paragraph" w:styleId="ListParagraph">
    <w:name w:val="List Paragraph"/>
    <w:basedOn w:val="Normal"/>
    <w:uiPriority w:val="34"/>
    <w:qFormat/>
    <w:rsid w:val="00634A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634AC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34AC7"/>
    <w:rPr>
      <w:rFonts w:ascii="Times New Roman" w:eastAsia="Calibri" w:hAnsi="Times New Roman" w:cs="Times New Roman"/>
      <w:color w:val="0000FF"/>
      <w:sz w:val="20"/>
      <w:szCs w:val="20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AC7"/>
    <w:rPr>
      <w:rFonts w:ascii="Times New Roman" w:eastAsia="Calibri" w:hAnsi="Times New Roman" w:cs="Times New Roman"/>
      <w:color w:val="0000FF"/>
      <w:sz w:val="20"/>
      <w:szCs w:val="20"/>
      <w:u w:val="single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AC7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5D2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D512F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736"/>
    <w:pPr>
      <w:spacing w:line="240" w:lineRule="auto"/>
    </w:pPr>
    <w:rPr>
      <w:rFonts w:asciiTheme="minorHAnsi" w:eastAsiaTheme="minorHAnsi" w:hAnsiTheme="minorHAnsi" w:cstheme="minorBidi"/>
      <w:b/>
      <w:bCs/>
      <w:color w:val="auto"/>
      <w:u w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736"/>
    <w:rPr>
      <w:rFonts w:ascii="Times New Roman" w:eastAsia="Calibri" w:hAnsi="Times New Roman" w:cs="Times New Roman"/>
      <w:b/>
      <w:bCs/>
      <w:color w:val="0000FF"/>
      <w:sz w:val="20"/>
      <w:szCs w:val="20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3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aterandfood.org/basins/ni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10F9-D411-4D4D-858D-DA8C6C28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Notenbaert, An (ILRI)</dc:creator>
  <cp:lastModifiedBy>Notenbaert, An (ILRI)</cp:lastModifiedBy>
  <cp:revision>3</cp:revision>
  <cp:lastPrinted>2012-11-23T12:27:00Z</cp:lastPrinted>
  <dcterms:created xsi:type="dcterms:W3CDTF">2012-11-29T12:02:00Z</dcterms:created>
  <dcterms:modified xsi:type="dcterms:W3CDTF">2012-11-29T12:03:00Z</dcterms:modified>
</cp:coreProperties>
</file>